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81" w:rsidRPr="0029605F" w:rsidRDefault="00D21E52" w:rsidP="0029605F">
      <w:pPr>
        <w:pStyle w:val="PNadpis3"/>
        <w:numPr>
          <w:ilvl w:val="0"/>
          <w:numId w:val="0"/>
        </w:numPr>
        <w:spacing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p w:rsidR="00C97F82" w:rsidRPr="0029605F" w:rsidRDefault="00C97F82" w:rsidP="00C97F82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Pojištění majetku – krádež, loupež, vandalismus</w:t>
      </w:r>
    </w:p>
    <w:p w:rsidR="00C97F82" w:rsidRPr="00AF3E2C" w:rsidRDefault="00C97F82" w:rsidP="00C97F82">
      <w:pPr>
        <w:pStyle w:val="Nadpis4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5"/>
        <w:gridCol w:w="4387"/>
        <w:gridCol w:w="2204"/>
      </w:tblGrid>
      <w:tr w:rsidR="00C97F82" w:rsidRPr="00A156E2" w:rsidTr="00C97F82">
        <w:trPr>
          <w:trHeight w:val="255"/>
          <w:tblHeader/>
        </w:trPr>
        <w:tc>
          <w:tcPr>
            <w:tcW w:w="3813" w:type="pct"/>
            <w:gridSpan w:val="2"/>
            <w:vMerge w:val="restart"/>
            <w:tcBorders>
              <w:bottom w:val="single" w:sz="18" w:space="0" w:color="DBDCDD"/>
              <w:right w:val="single" w:sz="18" w:space="0" w:color="DBDCDD"/>
            </w:tcBorders>
            <w:shd w:val="clear" w:color="auto" w:fill="283164"/>
          </w:tcPr>
          <w:p w:rsidR="00C97F82" w:rsidRPr="00A156E2" w:rsidRDefault="00C97F82" w:rsidP="00C97F82">
            <w:pPr>
              <w:pStyle w:val="TabulkaNL"/>
              <w:rPr>
                <w:rFonts w:cs="Arial"/>
                <w:b w:val="0"/>
              </w:rPr>
            </w:pPr>
            <w:r w:rsidRPr="00A156E2">
              <w:t>Předmět pojištění</w:t>
            </w:r>
          </w:p>
        </w:tc>
        <w:tc>
          <w:tcPr>
            <w:tcW w:w="1187" w:type="pct"/>
            <w:tcBorders>
              <w:left w:val="single" w:sz="18" w:space="0" w:color="DBDCDD"/>
              <w:bottom w:val="single" w:sz="18" w:space="0" w:color="DBDCDD"/>
            </w:tcBorders>
            <w:shd w:val="clear" w:color="auto" w:fill="283164"/>
            <w:vAlign w:val="center"/>
          </w:tcPr>
          <w:p w:rsidR="00C97F82" w:rsidRPr="00A156E2" w:rsidRDefault="00C97F82" w:rsidP="00C97F82">
            <w:pPr>
              <w:pStyle w:val="TabulkaNM"/>
            </w:pPr>
            <w:r w:rsidRPr="00A156E2">
              <w:t>Pojistná částka – první riziko</w:t>
            </w:r>
          </w:p>
        </w:tc>
      </w:tr>
      <w:tr w:rsidR="00C97F82" w:rsidRPr="00A156E2" w:rsidTr="0029605F">
        <w:trPr>
          <w:trHeight w:val="255"/>
          <w:tblHeader/>
        </w:trPr>
        <w:tc>
          <w:tcPr>
            <w:tcW w:w="3813" w:type="pct"/>
            <w:gridSpan w:val="2"/>
            <w:vMerge/>
            <w:tcBorders>
              <w:top w:val="single" w:sz="18" w:space="0" w:color="DBDCDD"/>
              <w:right w:val="single" w:sz="18" w:space="0" w:color="DBDCDD"/>
            </w:tcBorders>
            <w:shd w:val="clear" w:color="auto" w:fill="283164"/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  <w:b/>
                <w:color w:val="FFFFFF"/>
              </w:rPr>
            </w:pPr>
          </w:p>
        </w:tc>
        <w:tc>
          <w:tcPr>
            <w:tcW w:w="1187" w:type="pct"/>
            <w:tcBorders>
              <w:top w:val="single" w:sz="18" w:space="0" w:color="DBDCDD"/>
              <w:left w:val="single" w:sz="18" w:space="0" w:color="DBDCDD"/>
            </w:tcBorders>
            <w:shd w:val="clear" w:color="auto" w:fill="283164"/>
          </w:tcPr>
          <w:p w:rsidR="00C97F82" w:rsidRPr="00A156E2" w:rsidRDefault="00C97F82" w:rsidP="00C97F82">
            <w:pPr>
              <w:pStyle w:val="TabulkaNL"/>
            </w:pPr>
            <w:r w:rsidRPr="00A156E2">
              <w:t>Varianta I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</w:t>
            </w:r>
            <w:r w:rsidRPr="00A156E2">
              <w:rPr>
                <w:rFonts w:cs="Arial"/>
              </w:rPr>
              <w:br/>
              <w:t>a cizích stavebních součástí</w:t>
            </w:r>
          </w:p>
        </w:tc>
        <w:tc>
          <w:tcPr>
            <w:tcW w:w="236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Stavební součástí</w:t>
            </w:r>
            <w:r>
              <w:rPr>
                <w:rFonts w:cs="Arial"/>
              </w:rPr>
              <w:t xml:space="preserve"> a příslušenství uvnitř i vně budov, hal a staveb, včetně zabudovaných technologií, čističek odpadních vod, rozestavěných nemovitostí, dále ostatní stavby jako oplocení, chodníky, komunikace, autobusové zastávky s přístřešky, včetně odnímatelných částic (jako např. EZS, čidla, kamerové zabezpečovací systémy, mechanické zábranné systémy, kanalizační a jiné šachtice, poklopy, odpadkové koše, památníky, kaple, sochy, lavičky, parkovací automaty, apod.)</w:t>
            </w:r>
          </w:p>
        </w:tc>
        <w:tc>
          <w:tcPr>
            <w:tcW w:w="1187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162400" w:rsidP="00C97F82">
            <w:pPr>
              <w:pStyle w:val="TabulkaTR"/>
            </w:pPr>
            <w:r>
              <w:t xml:space="preserve">1 000 000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 w:val="restart"/>
            <w:tcBorders>
              <w:top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t xml:space="preserve">Soubor vlastních </w:t>
            </w:r>
            <w:r w:rsidRPr="00A156E2">
              <w:br/>
              <w:t>a cizích věcí movitých, včetně zásob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867FEE" w:rsidRDefault="00C97F82" w:rsidP="00C97F82">
            <w:pPr>
              <w:pStyle w:val="TabulkaTL"/>
            </w:pPr>
            <w:r w:rsidRPr="00867FEE">
              <w:t xml:space="preserve">Soubor vlastních a cizích věcí movitých </w:t>
            </w:r>
            <w:r>
              <w:t>vč. s</w:t>
            </w:r>
            <w:r w:rsidRPr="00867FEE">
              <w:t>troj</w:t>
            </w:r>
            <w:r>
              <w:t>ů</w:t>
            </w:r>
            <w:r w:rsidRPr="00867FEE">
              <w:t xml:space="preserve"> a strojní</w:t>
            </w:r>
            <w:r>
              <w:t>ch</w:t>
            </w:r>
            <w:r w:rsidRPr="00867FEE">
              <w:t xml:space="preserve"> zařízení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C97F82" w:rsidRPr="00A156E2" w:rsidRDefault="00162400" w:rsidP="00C97F82">
            <w:pPr>
              <w:pStyle w:val="TabulkaTR"/>
            </w:pPr>
            <w:r>
              <w:t>2</w:t>
            </w:r>
            <w:r w:rsidR="00C97F82">
              <w:t xml:space="preserve"> 000 000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Elektronika</w:t>
            </w:r>
          </w:p>
        </w:tc>
        <w:tc>
          <w:tcPr>
            <w:tcW w:w="1187" w:type="pct"/>
            <w:vMerge/>
            <w:tcBorders>
              <w:lef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Ostatní – vybavení kanceláře, drobný majetek apod.</w:t>
            </w:r>
          </w:p>
        </w:tc>
        <w:tc>
          <w:tcPr>
            <w:tcW w:w="1187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Soubor věcí vedených v operativní evidenci, na účtu spotřeby materiálu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200 000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Materiál, zboží, nedokončená výroba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905EBF" w:rsidRDefault="00905EBF" w:rsidP="00C97F82">
            <w:pPr>
              <w:pStyle w:val="TabulkaTR"/>
            </w:pPr>
            <w:r>
              <w:t xml:space="preserve">500 000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Písemnosti, plány, výkresy, nosiče dat a záznamů na nich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241FE6" w:rsidRDefault="00C97F82" w:rsidP="00C97F82">
            <w:pPr>
              <w:pStyle w:val="TabulkaTR"/>
            </w:pPr>
            <w:r w:rsidRPr="00241FE6">
              <w:t>100</w:t>
            </w:r>
            <w:r w:rsidR="00241FE6">
              <w:t> </w:t>
            </w:r>
            <w:r w:rsidRPr="00241FE6">
              <w:t>000</w:t>
            </w:r>
            <w:r w:rsidR="00241FE6">
              <w:t xml:space="preserve">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223E3B">
            <w:pPr>
              <w:pStyle w:val="TabulkaTL"/>
            </w:pPr>
            <w:r w:rsidRPr="00A156E2">
              <w:t>Věci vnesené a odlož</w:t>
            </w:r>
            <w:r>
              <w:t xml:space="preserve">ené - věci zaměstnanců, návštěv, včetně jízdních kol zaměstnanců používaných na cestu do zaměstnání, </w:t>
            </w:r>
            <w:r w:rsidRPr="00A156E2">
              <w:t>apod.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300 000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>
              <w:t xml:space="preserve">Soubor protipožárních prostředků pojištěných objektů – hydrantové skříně včetně jejich vybavení (hydrantové hadice, proudnice, ventily, zámky, apod.), </w:t>
            </w:r>
            <w:proofErr w:type="gramStart"/>
            <w:r>
              <w:t>hasící</w:t>
            </w:r>
            <w:proofErr w:type="gramEnd"/>
            <w:r>
              <w:t xml:space="preserve"> přístroje včetně skříní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7C5AE7" w:rsidP="00C97F82">
            <w:pPr>
              <w:pStyle w:val="TabulkaTR"/>
            </w:pPr>
            <w:r>
              <w:t>20</w:t>
            </w:r>
            <w:r w:rsidR="00C97F82">
              <w:t xml:space="preserve">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</w:t>
            </w:r>
            <w:r w:rsidRPr="00A156E2">
              <w:rPr>
                <w:rFonts w:cs="Arial"/>
              </w:rPr>
              <w:br/>
              <w:t>a cizích nových investic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Stavební součásti 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1 000 000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Věci movité</w:t>
            </w:r>
          </w:p>
        </w:tc>
        <w:tc>
          <w:tcPr>
            <w:tcW w:w="1187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</w:t>
            </w:r>
            <w:r w:rsidRPr="00A156E2">
              <w:rPr>
                <w:rFonts w:cs="Arial"/>
              </w:rPr>
              <w:br/>
              <w:t>a cizích cenností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Peníze a cennosti uzamčené v pokladnách a trezorech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241FE6" w:rsidRDefault="00162400" w:rsidP="00C97F82">
            <w:pPr>
              <w:pStyle w:val="TabulkaTR"/>
            </w:pPr>
            <w:r w:rsidRPr="00241FE6">
              <w:t xml:space="preserve">1 500 000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Přeprava peněz a cenností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BE527B" w:rsidRDefault="007E44F5" w:rsidP="00C97F82">
            <w:pPr>
              <w:pStyle w:val="TabulkaTR"/>
            </w:pPr>
            <w:r>
              <w:t>3</w:t>
            </w:r>
            <w:r w:rsidR="00162400" w:rsidRPr="00BE527B">
              <w:t xml:space="preserve">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Umělecká díla, věci zvláštní kulturní a historické hodnoty, včetně exponátů na výstavách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905EBF" w:rsidRDefault="00162400" w:rsidP="00D4188B">
            <w:pPr>
              <w:pStyle w:val="TabulkaTR"/>
            </w:pPr>
            <w:r>
              <w:t>1 </w:t>
            </w:r>
            <w:r w:rsidR="00D4188B">
              <w:t>5</w:t>
            </w:r>
            <w:r>
              <w:t xml:space="preserve">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vlastního </w:t>
            </w:r>
            <w:r w:rsidRPr="00A156E2">
              <w:rPr>
                <w:rFonts w:cs="Arial"/>
              </w:rPr>
              <w:br/>
              <w:t>a cizího nehmotného majetku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Nehmotný majetek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281DEE" w:rsidRDefault="00C97F82" w:rsidP="00C97F82">
            <w:pPr>
              <w:pStyle w:val="TabulkaTR"/>
            </w:pPr>
            <w:r w:rsidRPr="00281DEE">
              <w:t xml:space="preserve">100 000 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Pr="00866600" w:rsidRDefault="00C97F82" w:rsidP="00C97F82">
      <w:pPr>
        <w:pStyle w:val="Nadpis4"/>
        <w:spacing w:before="0"/>
      </w:pPr>
      <w:r>
        <w:br w:type="page"/>
      </w:r>
      <w:r>
        <w:lastRenderedPageBreak/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2"/>
        <w:gridCol w:w="64"/>
        <w:gridCol w:w="3148"/>
        <w:gridCol w:w="2796"/>
      </w:tblGrid>
      <w:tr w:rsidR="00C97F82" w:rsidRPr="001214FD" w:rsidTr="0029605F">
        <w:trPr>
          <w:trHeight w:hRule="exact" w:val="228"/>
          <w:tblHeader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283164"/>
          </w:tcPr>
          <w:p w:rsidR="00C97F82" w:rsidRPr="00407873" w:rsidRDefault="00C97F82" w:rsidP="00C97F82">
            <w:pPr>
              <w:pStyle w:val="TabulkaNL"/>
            </w:pPr>
            <w:r w:rsidRPr="00341F53">
              <w:br w:type="page"/>
            </w:r>
            <w:r w:rsidRPr="00407873">
              <w:t> 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C97F82" w:rsidRPr="00407873" w:rsidRDefault="00C97F82" w:rsidP="00C97F82">
            <w:pPr>
              <w:pStyle w:val="TabulkaN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283164"/>
          </w:tcPr>
          <w:p w:rsidR="00C97F82" w:rsidRPr="001214FD" w:rsidRDefault="00C97F82" w:rsidP="00C97F82">
            <w:pPr>
              <w:pStyle w:val="TabulkaNL"/>
            </w:pPr>
            <w:r w:rsidRPr="001214FD">
              <w:t>Varianta I</w:t>
            </w: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Odcizení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</w:tr>
      <w:tr w:rsidR="00C97F82" w:rsidRPr="001214FD" w:rsidTr="0029605F">
        <w:trPr>
          <w:trHeight w:val="489"/>
        </w:trPr>
        <w:tc>
          <w:tcPr>
            <w:tcW w:w="1773" w:type="pct"/>
            <w:gridSpan w:val="2"/>
            <w:tcBorders>
              <w:top w:val="nil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09" w:type="pct"/>
            <w:tcBorders>
              <w:top w:val="nil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tcBorders>
              <w:top w:val="nil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Krádež, loupež</w:t>
            </w:r>
          </w:p>
        </w:tc>
      </w:tr>
      <w:tr w:rsidR="00C97F82" w:rsidRPr="001214FD" w:rsidTr="0029605F">
        <w:trPr>
          <w:trHeight w:val="489"/>
        </w:trPr>
        <w:tc>
          <w:tcPr>
            <w:tcW w:w="1773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Limity plnění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Prostá krádež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  <w:r w:rsidRPr="001214FD">
              <w:t>100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C97F82" w:rsidRPr="001214FD" w:rsidTr="0029605F">
        <w:trPr>
          <w:trHeight w:val="988"/>
        </w:trPr>
        <w:tc>
          <w:tcPr>
            <w:tcW w:w="1773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Spoluúčasti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18" w:space="0" w:color="DBDCDD"/>
              <w:bottom w:val="nil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  <w:r w:rsidRPr="001214FD">
              <w:t>1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C97F82" w:rsidRPr="001214FD" w:rsidTr="0029605F">
        <w:trPr>
          <w:trHeight w:val="255"/>
        </w:trPr>
        <w:tc>
          <w:tcPr>
            <w:tcW w:w="1773" w:type="pct"/>
            <w:gridSpan w:val="2"/>
            <w:vMerge/>
            <w:tcBorders>
              <w:top w:val="single" w:sz="4" w:space="0" w:color="auto"/>
              <w:right w:val="single" w:sz="18" w:space="0" w:color="DBDCDD"/>
            </w:tcBorders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709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Přeprava cenností</w:t>
            </w:r>
          </w:p>
        </w:tc>
        <w:tc>
          <w:tcPr>
            <w:tcW w:w="1518" w:type="pct"/>
            <w:vMerge/>
            <w:tcBorders>
              <w:lef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Vandalismus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223E3B">
            <w:pPr>
              <w:pStyle w:val="TabulkaTL"/>
            </w:pPr>
            <w:r w:rsidRPr="001214FD">
              <w:t xml:space="preserve">Vandalismus </w:t>
            </w:r>
            <w:r w:rsidRPr="001214FD">
              <w:br/>
              <w:t>– zjištěný i nezjištěný pachatel</w:t>
            </w: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 xml:space="preserve">Agregovaná pojistná částka (Kč) – první riziko 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241FE6" w:rsidP="00C97F82">
            <w:pPr>
              <w:pStyle w:val="TabulkaTR"/>
            </w:pPr>
            <w:r>
              <w:t>1</w:t>
            </w:r>
            <w:r w:rsidR="00C97F82">
              <w:t> </w:t>
            </w:r>
            <w:r w:rsidR="00C97F82" w:rsidRPr="001214FD">
              <w:t>000 000</w:t>
            </w: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Limity plnění (Kč)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Škody způsobené sprejery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  <w:r>
              <w:t>2</w:t>
            </w:r>
            <w:r w:rsidRPr="001214FD">
              <w:t>00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C97F82" w:rsidRPr="002E4414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Spoluúčast (Kč)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  <w:r>
              <w:t>1 </w:t>
            </w:r>
            <w:r w:rsidRPr="001214FD">
              <w:t>000</w:t>
            </w:r>
            <w:r>
              <w:t xml:space="preserve"> 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Default="00C97F82" w:rsidP="00C97F82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5"/>
        <w:gridCol w:w="2995"/>
      </w:tblGrid>
      <w:tr w:rsidR="00C97F82" w:rsidRPr="00ED6B69" w:rsidTr="00C97F82">
        <w:trPr>
          <w:trHeight w:val="255"/>
        </w:trPr>
        <w:tc>
          <w:tcPr>
            <w:tcW w:w="3374" w:type="pct"/>
            <w:tcBorders>
              <w:righ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1626" w:type="pct"/>
            <w:tcBorders>
              <w:lef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R"/>
            </w:pPr>
            <w:r w:rsidRPr="00ED6B69">
              <w:t xml:space="preserve">Limit plnění 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R"/>
              <w:jc w:val="left"/>
            </w:pPr>
            <w:r w:rsidRPr="00ED6B69">
              <w:t xml:space="preserve">Katastrální území </w:t>
            </w:r>
            <w:r w:rsidR="00D4188B">
              <w:t>města Frenštát pod Radhoštěm</w:t>
            </w:r>
          </w:p>
        </w:tc>
        <w:tc>
          <w:tcPr>
            <w:tcW w:w="1626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ED6B69" w:rsidRDefault="00C97F82" w:rsidP="00C97F82">
            <w:pPr>
              <w:pStyle w:val="TabulkaTR"/>
            </w:pPr>
            <w:r w:rsidRPr="00ED6B69">
              <w:t>-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L"/>
            </w:pPr>
            <w:r>
              <w:t>Území ČR – přeprava cenností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9B1BE3" w:rsidRDefault="00C97F82" w:rsidP="00C97F82">
            <w:pPr>
              <w:pStyle w:val="TabulkaTR"/>
            </w:pPr>
            <w:r w:rsidRPr="009B1BE3">
              <w:t>-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L"/>
            </w:pPr>
            <w:r w:rsidRPr="00ED6B69">
              <w:t>Území Evropy</w:t>
            </w:r>
            <w:r>
              <w:t xml:space="preserve"> – mobilní elektronika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ED6B69" w:rsidRDefault="00C97F82" w:rsidP="00C97F82">
            <w:pPr>
              <w:pStyle w:val="TabulkaTR"/>
            </w:pPr>
            <w:r>
              <w:t>500 00</w:t>
            </w:r>
            <w:r w:rsidRPr="00ED6B69">
              <w:t>0</w:t>
            </w:r>
            <w:r>
              <w:t xml:space="preserve"> 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L"/>
            </w:pPr>
            <w:r w:rsidRPr="005C2DCE">
              <w:t xml:space="preserve">Místa na území ČR, která </w:t>
            </w:r>
            <w:r>
              <w:t>pojištěný a spolupojištěné organizace oprávněně užívají nebo se na nich nachází jejich majetek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Default="00C97F82" w:rsidP="00C97F82">
            <w:pPr>
              <w:pStyle w:val="TabulkaTR"/>
            </w:pPr>
            <w:r>
              <w:t xml:space="preserve">1 000 000 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sectPr w:rsidR="00C97F82" w:rsidRPr="00341F53" w:rsidSect="00D21E52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32" w:rsidRDefault="00AE6F32" w:rsidP="004F5014">
      <w:pPr>
        <w:spacing w:line="240" w:lineRule="auto"/>
      </w:pPr>
      <w:r>
        <w:separator/>
      </w:r>
    </w:p>
  </w:endnote>
  <w:endnote w:type="continuationSeparator" w:id="0">
    <w:p w:rsidR="00AE6F32" w:rsidRDefault="00AE6F32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297860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241FE6" w:rsidRDefault="00241FE6">
            <w:pPr>
              <w:pStyle w:val="Zpat"/>
              <w:jc w:val="center"/>
            </w:pPr>
            <w:r>
              <w:t xml:space="preserve">Stránka </w:t>
            </w:r>
            <w:r w:rsidR="00674A3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74A36">
              <w:rPr>
                <w:b/>
                <w:sz w:val="24"/>
                <w:szCs w:val="24"/>
              </w:rPr>
              <w:fldChar w:fldCharType="separate"/>
            </w:r>
            <w:r w:rsidR="00EC2037">
              <w:rPr>
                <w:b/>
                <w:noProof/>
              </w:rPr>
              <w:t>1</w:t>
            </w:r>
            <w:r w:rsidR="00674A3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74A3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74A36">
              <w:rPr>
                <w:b/>
                <w:sz w:val="24"/>
                <w:szCs w:val="24"/>
              </w:rPr>
              <w:fldChar w:fldCharType="separate"/>
            </w:r>
            <w:r w:rsidR="00EC2037">
              <w:rPr>
                <w:b/>
                <w:noProof/>
              </w:rPr>
              <w:t>2</w:t>
            </w:r>
            <w:r w:rsidR="00674A3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41FE6" w:rsidRPr="00DF4ED5" w:rsidRDefault="00241FE6" w:rsidP="00DF4E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32" w:rsidRDefault="00AE6F32" w:rsidP="004F5014">
      <w:pPr>
        <w:spacing w:line="240" w:lineRule="auto"/>
      </w:pPr>
      <w:r>
        <w:separator/>
      </w:r>
    </w:p>
  </w:footnote>
  <w:footnote w:type="continuationSeparator" w:id="0">
    <w:p w:rsidR="00AE6F32" w:rsidRDefault="00AE6F32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FE6" w:rsidRDefault="00241FE6" w:rsidP="004F5014">
    <w:pPr>
      <w:pStyle w:val="Zhlav"/>
      <w:jc w:val="right"/>
    </w:pPr>
    <w:r>
      <w:t>Příloha č.</w:t>
    </w:r>
    <w:r w:rsidR="00E0197B">
      <w:t xml:space="preserve"> </w:t>
    </w:r>
    <w:r>
      <w:t>2</w:t>
    </w:r>
    <w:r w:rsidR="0076095C">
      <w:t>c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14"/>
    <w:rsid w:val="00003285"/>
    <w:rsid w:val="00037D4F"/>
    <w:rsid w:val="00096158"/>
    <w:rsid w:val="000D1FC1"/>
    <w:rsid w:val="000E365F"/>
    <w:rsid w:val="000F6949"/>
    <w:rsid w:val="00127BE9"/>
    <w:rsid w:val="0015110A"/>
    <w:rsid w:val="00162400"/>
    <w:rsid w:val="001A6F0E"/>
    <w:rsid w:val="00223E3B"/>
    <w:rsid w:val="00241FE6"/>
    <w:rsid w:val="0025110D"/>
    <w:rsid w:val="00256F10"/>
    <w:rsid w:val="002776E5"/>
    <w:rsid w:val="00281DEE"/>
    <w:rsid w:val="002865EC"/>
    <w:rsid w:val="0029605F"/>
    <w:rsid w:val="002A5DBA"/>
    <w:rsid w:val="002E1918"/>
    <w:rsid w:val="00317016"/>
    <w:rsid w:val="003239D5"/>
    <w:rsid w:val="003507BA"/>
    <w:rsid w:val="0038105C"/>
    <w:rsid w:val="00387640"/>
    <w:rsid w:val="003B17E5"/>
    <w:rsid w:val="003D4888"/>
    <w:rsid w:val="004340BD"/>
    <w:rsid w:val="00497D94"/>
    <w:rsid w:val="004A5503"/>
    <w:rsid w:val="004F5014"/>
    <w:rsid w:val="005125CE"/>
    <w:rsid w:val="00531461"/>
    <w:rsid w:val="005C2DCE"/>
    <w:rsid w:val="005D54E4"/>
    <w:rsid w:val="005F74B3"/>
    <w:rsid w:val="00674A36"/>
    <w:rsid w:val="006B399C"/>
    <w:rsid w:val="006E55E7"/>
    <w:rsid w:val="00716DF9"/>
    <w:rsid w:val="00722B68"/>
    <w:rsid w:val="007428B0"/>
    <w:rsid w:val="0076095C"/>
    <w:rsid w:val="00776B81"/>
    <w:rsid w:val="00783771"/>
    <w:rsid w:val="007A5B0F"/>
    <w:rsid w:val="007B2482"/>
    <w:rsid w:val="007C5AE7"/>
    <w:rsid w:val="007D4C11"/>
    <w:rsid w:val="007E44F5"/>
    <w:rsid w:val="007F6C3F"/>
    <w:rsid w:val="0084377A"/>
    <w:rsid w:val="008524B9"/>
    <w:rsid w:val="008B61E4"/>
    <w:rsid w:val="008F57E7"/>
    <w:rsid w:val="008F61AF"/>
    <w:rsid w:val="008F79D1"/>
    <w:rsid w:val="009010B9"/>
    <w:rsid w:val="00905EBF"/>
    <w:rsid w:val="009508CF"/>
    <w:rsid w:val="009A00E8"/>
    <w:rsid w:val="009A7ED0"/>
    <w:rsid w:val="009E66E6"/>
    <w:rsid w:val="00A3678A"/>
    <w:rsid w:val="00A43AD8"/>
    <w:rsid w:val="00AC09D9"/>
    <w:rsid w:val="00AE02FA"/>
    <w:rsid w:val="00AE6F32"/>
    <w:rsid w:val="00B538D3"/>
    <w:rsid w:val="00B94A58"/>
    <w:rsid w:val="00BC3F1E"/>
    <w:rsid w:val="00BC4B83"/>
    <w:rsid w:val="00BE527B"/>
    <w:rsid w:val="00C83A68"/>
    <w:rsid w:val="00C97F82"/>
    <w:rsid w:val="00CC1902"/>
    <w:rsid w:val="00D05845"/>
    <w:rsid w:val="00D21E52"/>
    <w:rsid w:val="00D22B8F"/>
    <w:rsid w:val="00D4188B"/>
    <w:rsid w:val="00D523F3"/>
    <w:rsid w:val="00D7148D"/>
    <w:rsid w:val="00DD609B"/>
    <w:rsid w:val="00DF4ED5"/>
    <w:rsid w:val="00E0197B"/>
    <w:rsid w:val="00E228C9"/>
    <w:rsid w:val="00EC2037"/>
    <w:rsid w:val="00EC626A"/>
    <w:rsid w:val="00F200B0"/>
    <w:rsid w:val="00F451A9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A8BC3-5708-4D60-8002-E0DE4227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2243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Microsoft</cp:lastModifiedBy>
  <cp:revision>2</cp:revision>
  <cp:lastPrinted>2011-09-20T05:17:00Z</cp:lastPrinted>
  <dcterms:created xsi:type="dcterms:W3CDTF">2019-11-05T10:49:00Z</dcterms:created>
  <dcterms:modified xsi:type="dcterms:W3CDTF">2019-11-05T10:49:00Z</dcterms:modified>
</cp:coreProperties>
</file>